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Tahoma" w:hAnsi="Tahoma" w:eastAsia="宋体" w:cs="Tahoma"/>
          <w:b/>
          <w:bCs/>
          <w:color w:val="494949"/>
          <w:kern w:val="0"/>
          <w:sz w:val="32"/>
          <w:szCs w:val="32"/>
        </w:rPr>
      </w:pPr>
      <w:r>
        <w:rPr>
          <w:rFonts w:ascii="Tahoma" w:hAnsi="Tahoma" w:eastAsia="宋体" w:cs="Tahoma"/>
          <w:b/>
          <w:bCs/>
          <w:color w:val="494949"/>
          <w:kern w:val="0"/>
          <w:sz w:val="32"/>
          <w:szCs w:val="32"/>
        </w:rPr>
        <w:t>哈工大201</w:t>
      </w:r>
      <w:r>
        <w:rPr>
          <w:rFonts w:hint="eastAsia" w:ascii="Tahoma" w:hAnsi="Tahoma" w:eastAsia="宋体" w:cs="Tahoma"/>
          <w:b/>
          <w:bCs/>
          <w:color w:val="494949"/>
          <w:kern w:val="0"/>
          <w:sz w:val="32"/>
          <w:szCs w:val="32"/>
        </w:rPr>
        <w:t>8</w:t>
      </w:r>
      <w:r>
        <w:rPr>
          <w:rFonts w:ascii="Tahoma" w:hAnsi="Tahoma" w:eastAsia="宋体" w:cs="Tahoma"/>
          <w:b/>
          <w:bCs/>
          <w:color w:val="494949"/>
          <w:kern w:val="0"/>
          <w:sz w:val="32"/>
          <w:szCs w:val="32"/>
        </w:rPr>
        <w:t>年M</w:t>
      </w:r>
      <w:r>
        <w:rPr>
          <w:rFonts w:hint="eastAsia" w:ascii="Tahoma" w:hAnsi="Tahoma" w:eastAsia="宋体" w:cs="Tahoma"/>
          <w:b/>
          <w:bCs/>
          <w:color w:val="494949"/>
          <w:kern w:val="0"/>
          <w:sz w:val="32"/>
          <w:szCs w:val="32"/>
        </w:rPr>
        <w:t>P</w:t>
      </w:r>
      <w:r>
        <w:rPr>
          <w:rFonts w:ascii="Tahoma" w:hAnsi="Tahoma" w:eastAsia="宋体" w:cs="Tahoma"/>
          <w:b/>
          <w:bCs/>
          <w:color w:val="494949"/>
          <w:kern w:val="0"/>
          <w:sz w:val="32"/>
          <w:szCs w:val="32"/>
        </w:rPr>
        <w:t>A校外优秀生源调剂录取工作方案</w:t>
      </w:r>
    </w:p>
    <w:p>
      <w:pPr>
        <w:widowControl/>
        <w:wordWrap w:val="0"/>
        <w:spacing w:line="320" w:lineRule="atLeast"/>
        <w:ind w:firstLine="600"/>
        <w:jc w:val="left"/>
        <w:rPr>
          <w:rFonts w:ascii="楷体" w:hAnsi="楷体" w:eastAsia="楷体" w:cs="Tahoma"/>
          <w:color w:val="494949"/>
          <w:kern w:val="0"/>
          <w:sz w:val="24"/>
        </w:rPr>
      </w:pPr>
    </w:p>
    <w:p>
      <w:pPr>
        <w:widowControl/>
        <w:wordWrap w:val="0"/>
        <w:spacing w:line="320" w:lineRule="atLeast"/>
        <w:ind w:firstLine="600"/>
        <w:jc w:val="left"/>
        <w:rPr>
          <w:rFonts w:ascii="楷体" w:hAnsi="楷体" w:eastAsia="楷体" w:cs="Tahoma"/>
          <w:color w:val="494949"/>
          <w:kern w:val="0"/>
          <w:sz w:val="17"/>
          <w:szCs w:val="17"/>
        </w:rPr>
      </w:pPr>
      <w:r>
        <w:rPr>
          <w:rFonts w:ascii="楷体" w:hAnsi="楷体" w:eastAsia="楷体" w:cs="Tahoma"/>
          <w:color w:val="494949"/>
          <w:kern w:val="0"/>
          <w:sz w:val="24"/>
        </w:rPr>
        <w:t>根据《</w:t>
      </w:r>
      <w:r>
        <w:rPr>
          <w:rFonts w:ascii="楷体" w:hAnsi="楷体" w:eastAsia="楷体" w:cs="Tahoma"/>
          <w:color w:val="000000"/>
          <w:kern w:val="0"/>
          <w:sz w:val="24"/>
        </w:rPr>
        <w:t>哈尔滨工业大学201</w:t>
      </w:r>
      <w:r>
        <w:rPr>
          <w:rFonts w:hint="eastAsia" w:ascii="楷体" w:hAnsi="楷体" w:eastAsia="楷体" w:cs="Tahoma"/>
          <w:color w:val="000000"/>
          <w:kern w:val="0"/>
          <w:sz w:val="24"/>
        </w:rPr>
        <w:t>8</w:t>
      </w:r>
      <w:r>
        <w:rPr>
          <w:rFonts w:ascii="楷体" w:hAnsi="楷体" w:eastAsia="楷体" w:cs="Tahoma"/>
          <w:color w:val="000000"/>
          <w:kern w:val="0"/>
          <w:sz w:val="24"/>
        </w:rPr>
        <w:t>年硕士研究生入学考试复试及录取工作办法</w:t>
      </w:r>
      <w:r>
        <w:rPr>
          <w:rFonts w:ascii="楷体" w:hAnsi="楷体" w:eastAsia="楷体" w:cs="Tahoma"/>
          <w:color w:val="494949"/>
          <w:kern w:val="0"/>
          <w:sz w:val="24"/>
        </w:rPr>
        <w:t>》（研院发[201</w:t>
      </w:r>
      <w:r>
        <w:rPr>
          <w:rFonts w:hint="eastAsia" w:ascii="楷体" w:hAnsi="楷体" w:eastAsia="楷体" w:cs="Tahoma"/>
          <w:color w:val="494949"/>
          <w:kern w:val="0"/>
          <w:sz w:val="24"/>
        </w:rPr>
        <w:t>8</w:t>
      </w:r>
      <w:r>
        <w:rPr>
          <w:rFonts w:ascii="楷体" w:hAnsi="楷体" w:eastAsia="楷体" w:cs="Tahoma"/>
          <w:color w:val="494949"/>
          <w:kern w:val="0"/>
          <w:sz w:val="24"/>
        </w:rPr>
        <w:t>]</w:t>
      </w:r>
      <w:r>
        <w:rPr>
          <w:rFonts w:hint="eastAsia" w:ascii="楷体" w:hAnsi="楷体" w:eastAsia="楷体" w:cs="Tahoma"/>
          <w:color w:val="494949"/>
          <w:kern w:val="0"/>
          <w:sz w:val="24"/>
        </w:rPr>
        <w:t>4</w:t>
      </w:r>
      <w:r>
        <w:rPr>
          <w:rFonts w:ascii="楷体" w:hAnsi="楷体" w:eastAsia="楷体" w:cs="Tahoma"/>
          <w:color w:val="494949"/>
          <w:kern w:val="0"/>
          <w:sz w:val="24"/>
        </w:rPr>
        <w:t>号），结合复试工作的具体情况，为改善学科生源结构，管理学院特向学校申请</w:t>
      </w:r>
      <w:r>
        <w:rPr>
          <w:rFonts w:hint="eastAsia" w:ascii="楷体" w:hAnsi="楷体" w:eastAsia="楷体" w:cs="Tahoma"/>
          <w:color w:val="494949"/>
          <w:kern w:val="0"/>
          <w:sz w:val="24"/>
        </w:rPr>
        <w:t>部分</w:t>
      </w:r>
      <w:r>
        <w:rPr>
          <w:rFonts w:ascii="楷体" w:hAnsi="楷体" w:eastAsia="楷体" w:cs="Tahoma"/>
          <w:color w:val="494949"/>
          <w:kern w:val="0"/>
          <w:sz w:val="24"/>
        </w:rPr>
        <w:t>指标用于</w:t>
      </w:r>
      <w:r>
        <w:rPr>
          <w:rFonts w:hint="eastAsia" w:ascii="楷体" w:hAnsi="楷体" w:eastAsia="楷体" w:cs="Tahoma"/>
          <w:color w:val="494949"/>
          <w:kern w:val="0"/>
          <w:sz w:val="24"/>
        </w:rPr>
        <w:t>公共</w:t>
      </w:r>
      <w:r>
        <w:rPr>
          <w:rFonts w:ascii="楷体" w:hAnsi="楷体" w:eastAsia="楷体" w:cs="Tahoma"/>
          <w:color w:val="494949"/>
          <w:kern w:val="0"/>
          <w:sz w:val="24"/>
        </w:rPr>
        <w:t>管理硕士校外优秀生源</w:t>
      </w:r>
      <w:r>
        <w:rPr>
          <w:rFonts w:hint="eastAsia" w:ascii="楷体" w:hAnsi="楷体" w:eastAsia="楷体" w:cs="Tahoma"/>
          <w:color w:val="494949"/>
          <w:kern w:val="0"/>
          <w:sz w:val="24"/>
        </w:rPr>
        <w:t>的</w:t>
      </w:r>
      <w:r>
        <w:rPr>
          <w:rFonts w:ascii="楷体" w:hAnsi="楷体" w:eastAsia="楷体" w:cs="Tahoma"/>
          <w:color w:val="494949"/>
          <w:kern w:val="0"/>
          <w:sz w:val="24"/>
        </w:rPr>
        <w:t>调剂，</w:t>
      </w:r>
      <w:r>
        <w:rPr>
          <w:rFonts w:hint="eastAsia" w:ascii="楷体" w:hAnsi="楷体" w:eastAsia="楷体" w:cs="Tahoma"/>
          <w:color w:val="494949"/>
          <w:kern w:val="0"/>
          <w:sz w:val="24"/>
        </w:rPr>
        <w:t>具体</w:t>
      </w:r>
      <w:r>
        <w:rPr>
          <w:rFonts w:ascii="楷体" w:hAnsi="楷体" w:eastAsia="楷体" w:cs="Tahoma"/>
          <w:color w:val="494949"/>
          <w:kern w:val="0"/>
          <w:sz w:val="24"/>
        </w:rPr>
        <w:t>安排如下：</w:t>
      </w:r>
    </w:p>
    <w:p>
      <w:pPr>
        <w:widowControl/>
        <w:wordWrap w:val="0"/>
        <w:spacing w:line="320" w:lineRule="atLeast"/>
        <w:jc w:val="left"/>
        <w:rPr>
          <w:rFonts w:ascii="楷体" w:hAnsi="楷体" w:eastAsia="楷体" w:cs="Tahoma"/>
          <w:b/>
          <w:bCs/>
          <w:color w:val="494949"/>
          <w:kern w:val="0"/>
          <w:sz w:val="24"/>
        </w:rPr>
      </w:pPr>
    </w:p>
    <w:p>
      <w:pPr>
        <w:widowControl/>
        <w:wordWrap w:val="0"/>
        <w:spacing w:line="320" w:lineRule="atLeast"/>
        <w:jc w:val="left"/>
        <w:rPr>
          <w:rFonts w:ascii="楷体" w:hAnsi="楷体" w:eastAsia="楷体" w:cs="Tahoma"/>
          <w:color w:val="494949"/>
          <w:kern w:val="0"/>
          <w:sz w:val="17"/>
          <w:szCs w:val="17"/>
        </w:rPr>
      </w:pPr>
      <w:r>
        <w:rPr>
          <w:rFonts w:ascii="楷体" w:hAnsi="楷体" w:eastAsia="楷体" w:cs="Tahoma"/>
          <w:b/>
          <w:bCs/>
          <w:color w:val="494949"/>
          <w:kern w:val="0"/>
          <w:sz w:val="24"/>
        </w:rPr>
        <w:t>一、调剂学科</w:t>
      </w:r>
    </w:p>
    <w:p>
      <w:pPr>
        <w:widowControl/>
        <w:wordWrap w:val="0"/>
        <w:spacing w:line="320" w:lineRule="atLeast"/>
        <w:ind w:firstLine="480"/>
        <w:jc w:val="left"/>
        <w:rPr>
          <w:rFonts w:ascii="楷体" w:hAnsi="楷体" w:eastAsia="楷体" w:cs="Tahoma"/>
          <w:color w:val="494949"/>
          <w:kern w:val="0"/>
          <w:sz w:val="24"/>
        </w:rPr>
      </w:pPr>
    </w:p>
    <w:p>
      <w:pPr>
        <w:widowControl/>
        <w:wordWrap w:val="0"/>
        <w:spacing w:line="320" w:lineRule="atLeast"/>
        <w:ind w:firstLine="480"/>
        <w:jc w:val="left"/>
        <w:rPr>
          <w:rFonts w:ascii="楷体" w:hAnsi="楷体" w:eastAsia="楷体" w:cs="Tahoma"/>
          <w:color w:val="494949"/>
          <w:kern w:val="0"/>
          <w:sz w:val="24"/>
        </w:rPr>
      </w:pPr>
      <w:r>
        <w:rPr>
          <w:rFonts w:hint="eastAsia" w:ascii="楷体" w:hAnsi="楷体" w:eastAsia="楷体" w:cs="Tahoma"/>
          <w:color w:val="494949"/>
          <w:kern w:val="0"/>
          <w:sz w:val="24"/>
        </w:rPr>
        <w:t>公共管理硕士专业学位</w:t>
      </w:r>
      <w:r>
        <w:rPr>
          <w:rFonts w:ascii="楷体" w:hAnsi="楷体" w:eastAsia="楷体" w:cs="Tahoma"/>
          <w:color w:val="494949"/>
          <w:kern w:val="0"/>
          <w:sz w:val="24"/>
        </w:rPr>
        <w:t>（</w:t>
      </w:r>
      <w:r>
        <w:rPr>
          <w:rFonts w:hint="eastAsia" w:ascii="楷体" w:hAnsi="楷体" w:eastAsia="楷体" w:cs="Tahoma"/>
          <w:color w:val="494949"/>
          <w:kern w:val="0"/>
          <w:sz w:val="24"/>
        </w:rPr>
        <w:t>MPA</w:t>
      </w:r>
      <w:r>
        <w:rPr>
          <w:rFonts w:ascii="楷体" w:hAnsi="楷体" w:eastAsia="楷体" w:cs="Tahoma"/>
          <w:color w:val="494949"/>
          <w:kern w:val="0"/>
          <w:sz w:val="24"/>
        </w:rPr>
        <w:t>）</w:t>
      </w:r>
    </w:p>
    <w:p>
      <w:pPr>
        <w:widowControl/>
        <w:wordWrap w:val="0"/>
        <w:spacing w:line="320" w:lineRule="atLeast"/>
        <w:ind w:firstLine="480"/>
        <w:jc w:val="left"/>
        <w:rPr>
          <w:rFonts w:ascii="楷体" w:hAnsi="楷体" w:eastAsia="楷体" w:cs="Tahoma"/>
          <w:color w:val="494949"/>
          <w:kern w:val="0"/>
          <w:sz w:val="24"/>
        </w:rPr>
      </w:pPr>
    </w:p>
    <w:p>
      <w:pPr>
        <w:widowControl/>
        <w:numPr>
          <w:ilvl w:val="0"/>
          <w:numId w:val="1"/>
        </w:numPr>
        <w:wordWrap w:val="0"/>
        <w:spacing w:line="320" w:lineRule="atLeast"/>
        <w:jc w:val="left"/>
        <w:rPr>
          <w:rFonts w:ascii="楷体" w:hAnsi="楷体" w:eastAsia="楷体" w:cs="Tahoma"/>
          <w:b/>
          <w:bCs/>
          <w:color w:val="494949"/>
          <w:kern w:val="0"/>
          <w:sz w:val="24"/>
        </w:rPr>
      </w:pPr>
      <w:r>
        <w:rPr>
          <w:rFonts w:hint="eastAsia" w:ascii="楷体" w:hAnsi="楷体" w:eastAsia="楷体" w:cs="Tahoma"/>
          <w:b/>
          <w:bCs/>
          <w:color w:val="494949"/>
          <w:kern w:val="0"/>
          <w:sz w:val="24"/>
        </w:rPr>
        <w:t>接收</w:t>
      </w:r>
      <w:r>
        <w:rPr>
          <w:rFonts w:ascii="楷体" w:hAnsi="楷体" w:eastAsia="楷体" w:cs="Tahoma"/>
          <w:b/>
          <w:bCs/>
          <w:color w:val="494949"/>
          <w:kern w:val="0"/>
          <w:sz w:val="24"/>
        </w:rPr>
        <w:t>校外调剂申请条件</w:t>
      </w:r>
    </w:p>
    <w:p>
      <w:pPr>
        <w:widowControl/>
        <w:wordWrap w:val="0"/>
        <w:spacing w:line="320" w:lineRule="atLeast"/>
        <w:jc w:val="left"/>
        <w:rPr>
          <w:rFonts w:ascii="楷体" w:hAnsi="楷体" w:eastAsia="楷体" w:cs="Tahoma"/>
          <w:b/>
          <w:bCs/>
          <w:color w:val="494949"/>
          <w:kern w:val="0"/>
          <w:sz w:val="24"/>
        </w:rPr>
      </w:pPr>
    </w:p>
    <w:p>
      <w:pPr>
        <w:widowControl/>
        <w:numPr>
          <w:ilvl w:val="0"/>
          <w:numId w:val="2"/>
        </w:numPr>
        <w:wordWrap w:val="0"/>
        <w:spacing w:line="320" w:lineRule="atLeast"/>
        <w:ind w:firstLine="360" w:firstLineChars="150"/>
        <w:jc w:val="left"/>
        <w:rPr>
          <w:rFonts w:ascii="楷体" w:hAnsi="楷体" w:eastAsia="楷体" w:cs="Tahoma"/>
          <w:color w:val="000000"/>
          <w:kern w:val="0"/>
          <w:sz w:val="24"/>
        </w:rPr>
      </w:pPr>
      <w:r>
        <w:rPr>
          <w:rFonts w:ascii="楷体" w:hAnsi="楷体" w:eastAsia="楷体" w:cs="Tahoma"/>
          <w:color w:val="000000"/>
          <w:kern w:val="0"/>
          <w:sz w:val="24"/>
        </w:rPr>
        <w:t>符合201</w:t>
      </w:r>
      <w:r>
        <w:rPr>
          <w:rFonts w:hint="eastAsia" w:ascii="楷体" w:hAnsi="楷体" w:eastAsia="楷体" w:cs="Tahoma"/>
          <w:color w:val="000000"/>
          <w:kern w:val="0"/>
          <w:sz w:val="24"/>
        </w:rPr>
        <w:t>8</w:t>
      </w:r>
      <w:r>
        <w:rPr>
          <w:rFonts w:ascii="楷体" w:hAnsi="楷体" w:eastAsia="楷体" w:cs="Tahoma"/>
          <w:color w:val="000000"/>
          <w:kern w:val="0"/>
          <w:sz w:val="24"/>
        </w:rPr>
        <w:t>年哈工大</w:t>
      </w:r>
      <w:r>
        <w:rPr>
          <w:rFonts w:hint="eastAsia" w:ascii="楷体" w:hAnsi="楷体" w:eastAsia="楷体" w:cs="Tahoma"/>
          <w:color w:val="000000"/>
          <w:kern w:val="0"/>
          <w:sz w:val="24"/>
        </w:rPr>
        <w:t>公共</w:t>
      </w:r>
      <w:r>
        <w:rPr>
          <w:rFonts w:ascii="楷体" w:hAnsi="楷体" w:eastAsia="楷体" w:cs="Tahoma"/>
          <w:color w:val="000000"/>
          <w:kern w:val="0"/>
          <w:sz w:val="24"/>
        </w:rPr>
        <w:t>管理硕士招生简章中规定的报</w:t>
      </w:r>
      <w:r>
        <w:rPr>
          <w:rFonts w:ascii="楷体" w:hAnsi="楷体" w:eastAsia="楷体" w:cs="Tahoma"/>
          <w:color w:val="494949"/>
          <w:kern w:val="0"/>
          <w:sz w:val="24"/>
        </w:rPr>
        <w:t>考条件</w:t>
      </w:r>
      <w:r>
        <w:rPr>
          <w:rFonts w:hint="eastAsia" w:ascii="楷体" w:hAnsi="楷体" w:eastAsia="楷体" w:cs="Tahoma"/>
          <w:color w:val="000000"/>
          <w:kern w:val="0"/>
          <w:sz w:val="24"/>
        </w:rPr>
        <w:t>；考生原报考专业考试科目与MPA考试科目相同。</w:t>
      </w:r>
    </w:p>
    <w:p>
      <w:pPr>
        <w:widowControl/>
        <w:numPr>
          <w:ilvl w:val="0"/>
          <w:numId w:val="2"/>
        </w:numPr>
        <w:wordWrap w:val="0"/>
        <w:spacing w:line="320" w:lineRule="atLeast"/>
        <w:ind w:firstLine="360" w:firstLineChars="150"/>
        <w:jc w:val="left"/>
        <w:rPr>
          <w:rFonts w:ascii="楷体" w:hAnsi="楷体" w:eastAsia="楷体" w:cs="Tahoma"/>
          <w:color w:val="494949"/>
          <w:kern w:val="0"/>
          <w:sz w:val="24"/>
        </w:rPr>
      </w:pPr>
      <w:r>
        <w:rPr>
          <w:rFonts w:hint="eastAsia" w:ascii="楷体" w:hAnsi="楷体" w:eastAsia="楷体" w:cs="Tahoma"/>
          <w:color w:val="494949"/>
          <w:kern w:val="0"/>
          <w:sz w:val="24"/>
        </w:rPr>
        <w:t>初试成绩达到国家A线:总分≥165分，综合能力≥84分，外语≥42分。</w:t>
      </w:r>
    </w:p>
    <w:p>
      <w:pPr>
        <w:widowControl/>
        <w:wordWrap w:val="0"/>
        <w:spacing w:line="320" w:lineRule="atLeast"/>
        <w:ind w:firstLine="360" w:firstLineChars="150"/>
        <w:jc w:val="left"/>
        <w:rPr>
          <w:rFonts w:ascii="楷体" w:hAnsi="楷体" w:eastAsia="楷体" w:cs="Tahoma"/>
          <w:color w:val="494949"/>
          <w:kern w:val="0"/>
          <w:sz w:val="24"/>
        </w:rPr>
      </w:pPr>
      <w:r>
        <w:rPr>
          <w:rFonts w:ascii="楷体" w:hAnsi="楷体" w:eastAsia="楷体" w:cs="Tahoma"/>
          <w:color w:val="000000"/>
          <w:kern w:val="0"/>
          <w:sz w:val="24"/>
        </w:rPr>
        <w:t>（3）满足教育</w:t>
      </w:r>
      <w:r>
        <w:rPr>
          <w:rFonts w:ascii="楷体" w:hAnsi="楷体" w:eastAsia="楷体" w:cs="Tahoma"/>
          <w:color w:val="494949"/>
          <w:kern w:val="0"/>
          <w:sz w:val="24"/>
        </w:rPr>
        <w:t>部规定的调剂录取条件。</w:t>
      </w:r>
    </w:p>
    <w:p>
      <w:pPr>
        <w:widowControl/>
        <w:wordWrap w:val="0"/>
        <w:spacing w:line="320" w:lineRule="atLeast"/>
        <w:ind w:firstLine="480" w:firstLineChars="200"/>
        <w:jc w:val="left"/>
        <w:rPr>
          <w:rFonts w:ascii="楷体" w:hAnsi="楷体" w:eastAsia="楷体" w:cs="Tahoma"/>
          <w:color w:val="494949"/>
          <w:kern w:val="0"/>
          <w:sz w:val="17"/>
          <w:szCs w:val="17"/>
        </w:rPr>
      </w:pPr>
      <w:r>
        <w:rPr>
          <w:rFonts w:hint="eastAsia" w:ascii="宋体" w:hAnsi="宋体" w:cs="宋体"/>
          <w:kern w:val="0"/>
          <w:sz w:val="24"/>
        </w:rPr>
        <w:t xml:space="preserve">(4) </w:t>
      </w:r>
      <w:r>
        <w:rPr>
          <w:rFonts w:hint="eastAsia" w:ascii="楷体" w:hAnsi="楷体" w:eastAsia="楷体" w:cs="Tahoma"/>
          <w:color w:val="000000"/>
          <w:kern w:val="0"/>
          <w:sz w:val="24"/>
        </w:rPr>
        <w:t>哈工大MPA只接收非全日制在职定向就业考生。</w:t>
      </w:r>
    </w:p>
    <w:p>
      <w:pPr>
        <w:widowControl/>
        <w:wordWrap w:val="0"/>
        <w:spacing w:line="320" w:lineRule="atLeast"/>
        <w:jc w:val="left"/>
        <w:rPr>
          <w:rFonts w:eastAsia="楷体" w:cs="Tahoma" w:asciiTheme="majorEastAsia" w:hAnsiTheme="majorEastAsia"/>
          <w:color w:val="494949"/>
          <w:kern w:val="0"/>
          <w:sz w:val="24"/>
        </w:rPr>
      </w:pPr>
      <w:r>
        <w:rPr>
          <w:rFonts w:eastAsia="楷体" w:cs="Tahoma" w:asciiTheme="majorEastAsia" w:hAnsiTheme="majorEastAsia"/>
          <w:color w:val="494949"/>
          <w:kern w:val="0"/>
          <w:sz w:val="24"/>
        </w:rPr>
        <w:t>  </w:t>
      </w:r>
    </w:p>
    <w:p>
      <w:pPr>
        <w:widowControl/>
        <w:wordWrap w:val="0"/>
        <w:spacing w:line="320" w:lineRule="atLeast"/>
        <w:ind w:firstLine="480" w:firstLineChars="200"/>
        <w:jc w:val="left"/>
        <w:rPr>
          <w:rFonts w:ascii="楷体" w:hAnsi="楷体" w:eastAsia="楷体" w:cs="Tahoma"/>
          <w:color w:val="494949"/>
          <w:kern w:val="0"/>
          <w:sz w:val="17"/>
          <w:szCs w:val="17"/>
        </w:rPr>
      </w:pPr>
      <w:r>
        <w:rPr>
          <w:rFonts w:ascii="楷体" w:hAnsi="楷体" w:eastAsia="楷体" w:cs="Tahoma"/>
          <w:color w:val="494949"/>
          <w:kern w:val="0"/>
          <w:sz w:val="24"/>
        </w:rPr>
        <w:t>以上为哈工大接收M</w:t>
      </w:r>
      <w:r>
        <w:rPr>
          <w:rFonts w:hint="eastAsia" w:ascii="楷体" w:hAnsi="楷体" w:eastAsia="楷体" w:cs="Tahoma"/>
          <w:color w:val="494949"/>
          <w:kern w:val="0"/>
          <w:sz w:val="24"/>
        </w:rPr>
        <w:t>P</w:t>
      </w:r>
      <w:r>
        <w:rPr>
          <w:rFonts w:ascii="楷体" w:hAnsi="楷体" w:eastAsia="楷体" w:cs="Tahoma"/>
          <w:color w:val="494949"/>
          <w:kern w:val="0"/>
          <w:sz w:val="24"/>
        </w:rPr>
        <w:t>A调剂的基本条件，管理学院将对符合基本条件的申请考生审核筛选后确定调剂复试名单。</w:t>
      </w:r>
    </w:p>
    <w:p>
      <w:pPr>
        <w:widowControl/>
        <w:wordWrap w:val="0"/>
        <w:spacing w:line="320" w:lineRule="atLeast"/>
        <w:jc w:val="left"/>
        <w:rPr>
          <w:rFonts w:ascii="楷体" w:hAnsi="楷体" w:eastAsia="楷体" w:cs="Tahoma"/>
          <w:b/>
          <w:bCs/>
          <w:color w:val="494949"/>
          <w:kern w:val="0"/>
          <w:sz w:val="24"/>
        </w:rPr>
      </w:pPr>
    </w:p>
    <w:p>
      <w:pPr>
        <w:widowControl/>
        <w:wordWrap w:val="0"/>
        <w:spacing w:line="320" w:lineRule="atLeast"/>
        <w:jc w:val="left"/>
        <w:rPr>
          <w:rFonts w:ascii="楷体" w:hAnsi="楷体" w:eastAsia="楷体" w:cs="Tahoma"/>
          <w:b/>
          <w:bCs/>
          <w:color w:val="494949"/>
          <w:kern w:val="0"/>
          <w:sz w:val="24"/>
        </w:rPr>
      </w:pPr>
      <w:r>
        <w:rPr>
          <w:rFonts w:ascii="楷体" w:hAnsi="楷体" w:eastAsia="楷体" w:cs="Tahoma"/>
          <w:b/>
          <w:bCs/>
          <w:color w:val="494949"/>
          <w:kern w:val="0"/>
          <w:sz w:val="24"/>
        </w:rPr>
        <w:t>三、校外调剂录取程序</w:t>
      </w:r>
    </w:p>
    <w:p>
      <w:pPr>
        <w:widowControl/>
        <w:wordWrap w:val="0"/>
        <w:spacing w:line="320" w:lineRule="atLeast"/>
        <w:jc w:val="left"/>
        <w:rPr>
          <w:rFonts w:ascii="楷体" w:hAnsi="楷体" w:eastAsia="楷体" w:cs="Tahoma"/>
          <w:b/>
          <w:bCs/>
          <w:color w:val="494949"/>
          <w:kern w:val="0"/>
          <w:sz w:val="24"/>
        </w:rPr>
      </w:pPr>
      <w:r>
        <w:rPr>
          <w:rFonts w:hint="eastAsia" w:ascii="楷体" w:hAnsi="楷体" w:eastAsia="楷体" w:cs="Tahoma"/>
          <w:b/>
          <w:bCs/>
          <w:color w:val="494949"/>
          <w:kern w:val="0"/>
          <w:sz w:val="24"/>
        </w:rPr>
        <w:t xml:space="preserve"> </w:t>
      </w:r>
    </w:p>
    <w:p>
      <w:pPr>
        <w:widowControl/>
        <w:wordWrap w:val="0"/>
        <w:spacing w:line="320" w:lineRule="atLeast"/>
        <w:ind w:firstLine="360" w:firstLineChars="150"/>
        <w:jc w:val="left"/>
        <w:rPr>
          <w:rFonts w:ascii="楷体" w:hAnsi="楷体" w:eastAsia="楷体" w:cs="Tahoma"/>
          <w:color w:val="000000"/>
          <w:kern w:val="0"/>
          <w:sz w:val="24"/>
        </w:rPr>
      </w:pPr>
      <w:r>
        <w:rPr>
          <w:rFonts w:ascii="楷体" w:hAnsi="楷体" w:eastAsia="楷体" w:cs="Tahoma"/>
          <w:color w:val="000000"/>
          <w:kern w:val="0"/>
          <w:sz w:val="24"/>
        </w:rPr>
        <w:t>（1）管理学院</w:t>
      </w:r>
      <w:r>
        <w:rPr>
          <w:rFonts w:hint="eastAsia" w:ascii="楷体" w:hAnsi="楷体" w:eastAsia="楷体" w:cs="Tahoma"/>
          <w:color w:val="000000"/>
          <w:kern w:val="0"/>
          <w:sz w:val="24"/>
        </w:rPr>
        <w:t>MPA</w:t>
      </w:r>
      <w:r>
        <w:rPr>
          <w:rFonts w:ascii="楷体" w:hAnsi="楷体" w:eastAsia="楷体" w:cs="Tahoma"/>
          <w:color w:val="000000"/>
          <w:kern w:val="0"/>
          <w:sz w:val="24"/>
        </w:rPr>
        <w:t>教育中心将调剂录取工作方案报送校研招办对外公布。</w:t>
      </w:r>
    </w:p>
    <w:p>
      <w:pPr>
        <w:widowControl/>
        <w:wordWrap w:val="0"/>
        <w:spacing w:line="320" w:lineRule="atLeast"/>
        <w:ind w:firstLine="360" w:firstLineChars="150"/>
        <w:jc w:val="left"/>
        <w:rPr>
          <w:rFonts w:ascii="楷体" w:hAnsi="楷体" w:eastAsia="楷体" w:cs="Tahoma"/>
          <w:color w:val="000000"/>
          <w:kern w:val="0"/>
          <w:sz w:val="24"/>
        </w:rPr>
      </w:pPr>
      <w:r>
        <w:rPr>
          <w:rFonts w:ascii="楷体" w:hAnsi="楷体" w:eastAsia="楷体" w:cs="Tahoma"/>
          <w:color w:val="000000"/>
          <w:kern w:val="0"/>
          <w:sz w:val="24"/>
        </w:rPr>
        <w:t>（2）教育部调剂系统3月</w:t>
      </w:r>
      <w:r>
        <w:rPr>
          <w:rFonts w:hint="eastAsia" w:ascii="楷体" w:hAnsi="楷体" w:eastAsia="楷体" w:cs="Tahoma"/>
          <w:color w:val="000000"/>
          <w:kern w:val="0"/>
          <w:sz w:val="24"/>
        </w:rPr>
        <w:t>23</w:t>
      </w:r>
      <w:r>
        <w:rPr>
          <w:rFonts w:ascii="楷体" w:hAnsi="楷体" w:eastAsia="楷体" w:cs="Tahoma"/>
          <w:color w:val="000000"/>
          <w:kern w:val="0"/>
          <w:sz w:val="24"/>
        </w:rPr>
        <w:t>日开通后，考生通过教育部调剂系统（http://yz.chsi.com.cn/）进行正式报名。分批次接收调剂，报名截止时间：</w:t>
      </w:r>
      <w:r>
        <w:rPr>
          <w:rFonts w:hint="eastAsia" w:ascii="楷体" w:hAnsi="楷体" w:eastAsia="楷体" w:cs="Tahoma"/>
          <w:color w:val="000000"/>
          <w:kern w:val="0"/>
          <w:sz w:val="24"/>
          <w:lang w:val="en-US" w:eastAsia="zh-CN"/>
        </w:rPr>
        <w:t>4</w:t>
      </w:r>
      <w:r>
        <w:rPr>
          <w:rFonts w:ascii="楷体" w:hAnsi="楷体" w:eastAsia="楷体" w:cs="Tahoma"/>
          <w:color w:val="000000"/>
          <w:kern w:val="0"/>
          <w:sz w:val="24"/>
        </w:rPr>
        <w:t>月</w:t>
      </w:r>
      <w:r>
        <w:rPr>
          <w:rFonts w:hint="eastAsia" w:ascii="楷体" w:hAnsi="楷体" w:eastAsia="楷体" w:cs="Tahoma"/>
          <w:color w:val="000000"/>
          <w:kern w:val="0"/>
          <w:sz w:val="24"/>
          <w:lang w:val="en-US" w:eastAsia="zh-CN"/>
        </w:rPr>
        <w:t>15</w:t>
      </w:r>
      <w:r>
        <w:rPr>
          <w:rFonts w:ascii="楷体" w:hAnsi="楷体" w:eastAsia="楷体" w:cs="Tahoma"/>
          <w:color w:val="000000"/>
          <w:kern w:val="0"/>
          <w:sz w:val="24"/>
        </w:rPr>
        <w:t>日24:00。</w:t>
      </w:r>
    </w:p>
    <w:p>
      <w:pPr>
        <w:widowControl/>
        <w:wordWrap w:val="0"/>
        <w:spacing w:line="320" w:lineRule="atLeast"/>
        <w:ind w:firstLine="360" w:firstLineChars="150"/>
        <w:jc w:val="left"/>
        <w:rPr>
          <w:rFonts w:ascii="楷体" w:hAnsi="楷体" w:eastAsia="楷体" w:cs="Tahoma"/>
          <w:color w:val="000000"/>
          <w:kern w:val="0"/>
          <w:sz w:val="24"/>
        </w:rPr>
      </w:pPr>
      <w:r>
        <w:rPr>
          <w:rFonts w:ascii="楷体" w:hAnsi="楷体" w:eastAsia="楷体" w:cs="Tahoma"/>
          <w:color w:val="000000"/>
          <w:kern w:val="0"/>
          <w:sz w:val="24"/>
        </w:rPr>
        <w:t>（3）报名结束后，学院根据考生基本情况及联考分数进行审核筛选，确定调剂复试名单，并报校研招办审核后组织复试。</w:t>
      </w:r>
    </w:p>
    <w:p>
      <w:pPr>
        <w:widowControl/>
        <w:wordWrap w:val="0"/>
        <w:spacing w:line="320" w:lineRule="atLeast"/>
        <w:ind w:firstLine="360" w:firstLineChars="150"/>
        <w:jc w:val="left"/>
        <w:rPr>
          <w:rFonts w:ascii="楷体" w:hAnsi="楷体" w:eastAsia="楷体" w:cs="Tahoma"/>
          <w:color w:val="000000"/>
          <w:kern w:val="0"/>
          <w:sz w:val="24"/>
        </w:rPr>
      </w:pPr>
      <w:r>
        <w:rPr>
          <w:rFonts w:ascii="楷体" w:hAnsi="楷体" w:eastAsia="楷体" w:cs="Tahoma"/>
          <w:color w:val="000000"/>
          <w:kern w:val="0"/>
          <w:sz w:val="24"/>
        </w:rPr>
        <w:t>（4）参加调剂复试的考生复试前须进行资格审查，材料要求参见哈工大研招网及经济与管理学院网站《201</w:t>
      </w:r>
      <w:r>
        <w:rPr>
          <w:rFonts w:hint="eastAsia" w:ascii="楷体" w:hAnsi="楷体" w:eastAsia="楷体" w:cs="Tahoma"/>
          <w:color w:val="000000"/>
          <w:kern w:val="0"/>
          <w:sz w:val="24"/>
        </w:rPr>
        <w:t>8</w:t>
      </w:r>
      <w:r>
        <w:rPr>
          <w:rFonts w:ascii="楷体" w:hAnsi="楷体" w:eastAsia="楷体" w:cs="Tahoma"/>
          <w:color w:val="000000"/>
          <w:kern w:val="0"/>
          <w:sz w:val="24"/>
        </w:rPr>
        <w:t>年M</w:t>
      </w:r>
      <w:r>
        <w:rPr>
          <w:rFonts w:hint="eastAsia" w:ascii="楷体" w:hAnsi="楷体" w:eastAsia="楷体" w:cs="Tahoma"/>
          <w:color w:val="000000"/>
          <w:kern w:val="0"/>
          <w:sz w:val="24"/>
        </w:rPr>
        <w:t>P</w:t>
      </w:r>
      <w:r>
        <w:rPr>
          <w:rFonts w:ascii="楷体" w:hAnsi="楷体" w:eastAsia="楷体" w:cs="Tahoma"/>
          <w:color w:val="000000"/>
          <w:kern w:val="0"/>
          <w:sz w:val="24"/>
        </w:rPr>
        <w:t>A复试录取工作办法》。资格审查的时间待调剂复试通知公布。如考生提供虚假材料，任何时候一经发现，将取消考生的录取资</w:t>
      </w:r>
      <w:r>
        <w:rPr>
          <w:rFonts w:hint="eastAsia" w:ascii="楷体" w:hAnsi="楷体" w:eastAsia="楷体" w:cs="Tahoma"/>
          <w:color w:val="000000"/>
          <w:kern w:val="0"/>
          <w:sz w:val="24"/>
        </w:rPr>
        <w:t>格。</w:t>
      </w:r>
    </w:p>
    <w:p>
      <w:pPr>
        <w:widowControl/>
        <w:wordWrap w:val="0"/>
        <w:spacing w:line="320" w:lineRule="atLeast"/>
        <w:ind w:firstLine="360" w:firstLineChars="150"/>
        <w:jc w:val="left"/>
        <w:rPr>
          <w:rFonts w:ascii="楷体" w:hAnsi="楷体" w:eastAsia="楷体" w:cs="Tahoma"/>
          <w:color w:val="494949"/>
          <w:kern w:val="0"/>
          <w:sz w:val="17"/>
          <w:szCs w:val="17"/>
        </w:rPr>
      </w:pPr>
      <w:r>
        <w:rPr>
          <w:rFonts w:hint="eastAsia" w:ascii="楷体" w:hAnsi="楷体" w:eastAsia="楷体" w:cs="Tahoma"/>
          <w:color w:val="000000"/>
          <w:kern w:val="0"/>
          <w:sz w:val="24"/>
        </w:rPr>
        <w:t>（5）管理学院MPA教育中心对考生进行调剂复试。复试内容详见哈工大研招网及经济与管理学院网站《2018年MPA复试录取工作办法》。调剂复试预计于</w:t>
      </w:r>
      <w:r>
        <w:rPr>
          <w:rFonts w:hint="eastAsia" w:ascii="楷体" w:hAnsi="楷体" w:eastAsia="楷体" w:cs="Tahoma"/>
          <w:color w:val="000000"/>
          <w:kern w:val="0"/>
          <w:sz w:val="24"/>
          <w:lang w:val="en-US" w:eastAsia="zh-CN"/>
        </w:rPr>
        <w:t>4</w:t>
      </w:r>
      <w:r>
        <w:rPr>
          <w:rFonts w:hint="eastAsia" w:ascii="楷体" w:hAnsi="楷体" w:eastAsia="楷体" w:cs="Tahoma"/>
          <w:color w:val="000000"/>
          <w:kern w:val="0"/>
          <w:sz w:val="24"/>
        </w:rPr>
        <w:t>月</w:t>
      </w:r>
      <w:r>
        <w:rPr>
          <w:rFonts w:hint="eastAsia" w:ascii="楷体" w:hAnsi="楷体" w:eastAsia="楷体" w:cs="Tahoma"/>
          <w:color w:val="000000"/>
          <w:kern w:val="0"/>
          <w:sz w:val="24"/>
          <w:lang w:eastAsia="zh-CN"/>
        </w:rPr>
        <w:t>上</w:t>
      </w:r>
      <w:r>
        <w:rPr>
          <w:rFonts w:hint="eastAsia" w:ascii="楷体" w:hAnsi="楷体" w:eastAsia="楷体" w:cs="Tahoma"/>
          <w:color w:val="000000"/>
          <w:kern w:val="0"/>
          <w:sz w:val="24"/>
        </w:rPr>
        <w:t>旬</w:t>
      </w:r>
      <w:bookmarkStart w:id="0" w:name="_GoBack"/>
      <w:bookmarkEnd w:id="0"/>
      <w:r>
        <w:rPr>
          <w:rFonts w:hint="eastAsia" w:ascii="楷体" w:hAnsi="楷体" w:eastAsia="楷体" w:cs="Tahoma"/>
          <w:color w:val="000000"/>
          <w:kern w:val="0"/>
          <w:sz w:val="24"/>
        </w:rPr>
        <w:t>分批次进行。复试结束后，确</w:t>
      </w:r>
      <w:r>
        <w:rPr>
          <w:rFonts w:ascii="楷体" w:hAnsi="楷体" w:eastAsia="楷体" w:cs="Tahoma"/>
          <w:color w:val="000000"/>
          <w:kern w:val="0"/>
          <w:sz w:val="24"/>
        </w:rPr>
        <w:t>定调剂拟录取名单，并报校研招办审核</w:t>
      </w:r>
      <w:r>
        <w:rPr>
          <w:rFonts w:hint="eastAsia" w:ascii="楷体" w:hAnsi="楷体" w:eastAsia="楷体" w:cs="Tahoma"/>
          <w:color w:val="000000"/>
          <w:kern w:val="0"/>
          <w:sz w:val="24"/>
        </w:rPr>
        <w:t>、</w:t>
      </w:r>
      <w:r>
        <w:rPr>
          <w:rFonts w:ascii="楷体" w:hAnsi="楷体" w:eastAsia="楷体" w:cs="Tahoma"/>
          <w:color w:val="000000"/>
          <w:kern w:val="0"/>
          <w:sz w:val="24"/>
        </w:rPr>
        <w:t>公示。</w:t>
      </w:r>
    </w:p>
    <w:p>
      <w:pPr>
        <w:widowControl/>
        <w:wordWrap w:val="0"/>
        <w:spacing w:line="320" w:lineRule="atLeast"/>
        <w:ind w:firstLine="360" w:firstLineChars="150"/>
        <w:jc w:val="left"/>
        <w:rPr>
          <w:rFonts w:ascii="楷体" w:hAnsi="楷体" w:eastAsia="楷体" w:cs="Tahoma"/>
          <w:color w:val="494949"/>
          <w:kern w:val="0"/>
          <w:sz w:val="17"/>
          <w:szCs w:val="17"/>
        </w:rPr>
      </w:pPr>
      <w:r>
        <w:rPr>
          <w:rFonts w:ascii="楷体" w:hAnsi="楷体" w:eastAsia="楷体" w:cs="Tahoma"/>
          <w:color w:val="000000"/>
          <w:kern w:val="0"/>
          <w:sz w:val="24"/>
        </w:rPr>
        <w:t>（6）拟录取的校外调剂考生必须通过教育部调剂系统完成录取手续，否则将视为无效。</w:t>
      </w:r>
    </w:p>
    <w:p>
      <w:pPr>
        <w:widowControl/>
        <w:wordWrap w:val="0"/>
        <w:spacing w:line="320" w:lineRule="atLeast"/>
        <w:jc w:val="left"/>
        <w:rPr>
          <w:rFonts w:ascii="楷体" w:hAnsi="楷体" w:eastAsia="楷体" w:cs="Tahoma"/>
          <w:b/>
          <w:bCs/>
          <w:color w:val="494949"/>
          <w:kern w:val="0"/>
          <w:sz w:val="24"/>
        </w:rPr>
      </w:pPr>
    </w:p>
    <w:p>
      <w:pPr>
        <w:widowControl/>
        <w:wordWrap w:val="0"/>
        <w:spacing w:line="320" w:lineRule="atLeast"/>
        <w:jc w:val="left"/>
        <w:rPr>
          <w:rFonts w:ascii="楷体" w:hAnsi="楷体" w:eastAsia="楷体" w:cs="Tahoma"/>
          <w:b/>
          <w:bCs/>
          <w:color w:val="494949"/>
          <w:kern w:val="0"/>
          <w:sz w:val="24"/>
        </w:rPr>
      </w:pPr>
      <w:r>
        <w:rPr>
          <w:rFonts w:hint="eastAsia" w:ascii="楷体" w:hAnsi="楷体" w:eastAsia="楷体" w:cs="Tahoma"/>
          <w:b/>
          <w:bCs/>
          <w:color w:val="494949"/>
          <w:kern w:val="0"/>
          <w:sz w:val="24"/>
        </w:rPr>
        <w:t>四、学费及学习方式</w:t>
      </w:r>
    </w:p>
    <w:p>
      <w:pPr>
        <w:widowControl/>
        <w:wordWrap w:val="0"/>
        <w:spacing w:line="320" w:lineRule="atLeast"/>
        <w:jc w:val="left"/>
        <w:rPr>
          <w:rFonts w:hint="eastAsia" w:ascii="楷体" w:hAnsi="楷体" w:eastAsia="楷体" w:cs="Tahoma"/>
          <w:b/>
          <w:bCs/>
          <w:color w:val="494949"/>
          <w:kern w:val="0"/>
          <w:sz w:val="24"/>
        </w:rPr>
      </w:pPr>
      <w:r>
        <w:rPr>
          <w:rFonts w:hint="eastAsia" w:ascii="楷体" w:hAnsi="楷体" w:eastAsia="楷体" w:cs="Tahoma"/>
          <w:b/>
          <w:bCs/>
          <w:color w:val="494949"/>
          <w:kern w:val="0"/>
          <w:sz w:val="24"/>
        </w:rPr>
        <w:t xml:space="preserve">   </w:t>
      </w:r>
    </w:p>
    <w:p>
      <w:pPr>
        <w:widowControl/>
        <w:wordWrap w:val="0"/>
        <w:spacing w:line="320" w:lineRule="atLeast"/>
        <w:jc w:val="left"/>
        <w:rPr>
          <w:rFonts w:ascii="楷体" w:hAnsi="楷体" w:eastAsia="楷体" w:cs="Tahoma"/>
          <w:color w:val="000000"/>
          <w:kern w:val="0"/>
          <w:sz w:val="24"/>
        </w:rPr>
      </w:pPr>
      <w:r>
        <w:rPr>
          <w:rFonts w:hint="eastAsia" w:ascii="楷体" w:hAnsi="楷体" w:eastAsia="楷体" w:cs="Tahoma"/>
          <w:b/>
          <w:bCs/>
          <w:color w:val="494949"/>
          <w:kern w:val="0"/>
          <w:sz w:val="24"/>
        </w:rPr>
        <w:t xml:space="preserve">    我校MPA</w:t>
      </w:r>
      <w:r>
        <w:rPr>
          <w:rFonts w:hint="eastAsia" w:ascii="楷体" w:hAnsi="楷体" w:eastAsia="楷体" w:cs="Tahoma"/>
          <w:color w:val="000000"/>
          <w:kern w:val="0"/>
          <w:sz w:val="24"/>
        </w:rPr>
        <w:t>总学费哈尔滨班为5.5万，深圳班为8.4万，可分两次付清，首次缴纳学费为总额的50%。学员可以选择周末班或者集中班上课的方式。</w:t>
      </w:r>
    </w:p>
    <w:p>
      <w:pPr>
        <w:widowControl/>
        <w:wordWrap w:val="0"/>
        <w:spacing w:line="320" w:lineRule="atLeast"/>
        <w:jc w:val="left"/>
        <w:rPr>
          <w:rFonts w:hint="eastAsia" w:ascii="楷体" w:hAnsi="楷体" w:eastAsia="楷体" w:cs="Tahoma"/>
          <w:b/>
          <w:bCs/>
          <w:color w:val="494949"/>
          <w:kern w:val="0"/>
          <w:sz w:val="24"/>
        </w:rPr>
      </w:pPr>
    </w:p>
    <w:p>
      <w:pPr>
        <w:widowControl/>
        <w:wordWrap w:val="0"/>
        <w:spacing w:line="320" w:lineRule="atLeast"/>
        <w:jc w:val="left"/>
        <w:rPr>
          <w:rFonts w:ascii="楷体" w:hAnsi="楷体" w:eastAsia="楷体" w:cs="Tahoma"/>
          <w:color w:val="494949"/>
          <w:kern w:val="0"/>
          <w:sz w:val="17"/>
          <w:szCs w:val="17"/>
        </w:rPr>
      </w:pPr>
      <w:r>
        <w:rPr>
          <w:rFonts w:hint="eastAsia" w:ascii="楷体" w:hAnsi="楷体" w:eastAsia="楷体" w:cs="Tahoma"/>
          <w:b/>
          <w:bCs/>
          <w:color w:val="494949"/>
          <w:kern w:val="0"/>
          <w:sz w:val="24"/>
        </w:rPr>
        <w:t>五</w:t>
      </w:r>
      <w:r>
        <w:rPr>
          <w:rFonts w:ascii="楷体" w:hAnsi="楷体" w:eastAsia="楷体" w:cs="Tahoma"/>
          <w:b/>
          <w:bCs/>
          <w:color w:val="494949"/>
          <w:kern w:val="0"/>
          <w:sz w:val="24"/>
        </w:rPr>
        <w:t>、接收调剂单位及联系方式</w:t>
      </w:r>
    </w:p>
    <w:p>
      <w:pPr>
        <w:widowControl/>
        <w:wordWrap w:val="0"/>
        <w:spacing w:line="320" w:lineRule="atLeast"/>
        <w:jc w:val="left"/>
        <w:rPr>
          <w:rFonts w:ascii="楷体" w:hAnsi="楷体" w:eastAsia="楷体" w:cs="Tahoma"/>
          <w:color w:val="494949"/>
          <w:kern w:val="0"/>
          <w:sz w:val="24"/>
        </w:rPr>
      </w:pPr>
      <w:r>
        <w:rPr>
          <w:rFonts w:eastAsia="楷体" w:cs="Tahoma" w:asciiTheme="majorEastAsia" w:hAnsiTheme="majorEastAsia"/>
          <w:color w:val="494949"/>
          <w:kern w:val="0"/>
          <w:sz w:val="17"/>
          <w:szCs w:val="17"/>
        </w:rPr>
        <w:t> </w:t>
      </w:r>
      <w:r>
        <w:rPr>
          <w:rFonts w:hint="eastAsia" w:eastAsia="楷体" w:cs="Tahoma" w:asciiTheme="majorEastAsia" w:hAnsiTheme="majorEastAsia"/>
          <w:color w:val="494949"/>
          <w:kern w:val="0"/>
          <w:sz w:val="17"/>
          <w:szCs w:val="17"/>
        </w:rPr>
        <w:t xml:space="preserve">  </w:t>
      </w:r>
    </w:p>
    <w:p>
      <w:pPr>
        <w:widowControl/>
        <w:wordWrap w:val="0"/>
        <w:spacing w:line="320" w:lineRule="atLeast"/>
        <w:jc w:val="left"/>
        <w:rPr>
          <w:rFonts w:ascii="楷体" w:hAnsi="楷体" w:eastAsia="楷体" w:cs="Tahoma"/>
          <w:color w:val="494949"/>
          <w:kern w:val="0"/>
          <w:sz w:val="24"/>
        </w:rPr>
      </w:pPr>
      <w:r>
        <w:rPr>
          <w:rFonts w:ascii="楷体" w:hAnsi="楷体" w:eastAsia="楷体" w:cs="Tahoma"/>
          <w:b/>
          <w:color w:val="494949"/>
          <w:kern w:val="0"/>
          <w:sz w:val="24"/>
        </w:rPr>
        <w:t>接收调剂单位：</w:t>
      </w:r>
      <w:r>
        <w:rPr>
          <w:rFonts w:ascii="楷体" w:hAnsi="楷体" w:eastAsia="楷体" w:cs="Tahoma"/>
          <w:color w:val="494949"/>
          <w:kern w:val="0"/>
          <w:sz w:val="24"/>
        </w:rPr>
        <w:t>哈尔滨工业大学</w:t>
      </w:r>
      <w:r>
        <w:rPr>
          <w:rFonts w:hint="eastAsia" w:ascii="楷体" w:hAnsi="楷体" w:eastAsia="楷体" w:cs="Tahoma"/>
          <w:color w:val="494949"/>
          <w:kern w:val="0"/>
          <w:sz w:val="24"/>
        </w:rPr>
        <w:t>经济与</w:t>
      </w:r>
      <w:r>
        <w:rPr>
          <w:rFonts w:ascii="楷体" w:hAnsi="楷体" w:eastAsia="楷体" w:cs="Tahoma"/>
          <w:color w:val="494949"/>
          <w:kern w:val="0"/>
          <w:sz w:val="24"/>
        </w:rPr>
        <w:t>管理学院</w:t>
      </w:r>
      <w:r>
        <w:rPr>
          <w:rFonts w:hint="eastAsia" w:ascii="楷体" w:hAnsi="楷体" w:eastAsia="楷体" w:cs="Tahoma"/>
          <w:color w:val="494949"/>
          <w:kern w:val="0"/>
          <w:sz w:val="24"/>
        </w:rPr>
        <w:t xml:space="preserve"> </w:t>
      </w:r>
    </w:p>
    <w:p>
      <w:pPr>
        <w:widowControl/>
        <w:wordWrap w:val="0"/>
        <w:spacing w:line="320" w:lineRule="atLeast"/>
        <w:jc w:val="left"/>
        <w:rPr>
          <w:rFonts w:hint="eastAsia" w:ascii="楷体" w:hAnsi="楷体" w:eastAsia="楷体" w:cs="Tahoma"/>
          <w:color w:val="494949"/>
          <w:kern w:val="0"/>
          <w:sz w:val="24"/>
        </w:rPr>
      </w:pPr>
    </w:p>
    <w:p>
      <w:pPr>
        <w:widowControl/>
        <w:wordWrap w:val="0"/>
        <w:spacing w:line="320" w:lineRule="atLeast"/>
        <w:jc w:val="left"/>
        <w:rPr>
          <w:rFonts w:ascii="楷体" w:hAnsi="楷体" w:eastAsia="楷体" w:cs="Tahoma"/>
          <w:color w:val="494949"/>
          <w:kern w:val="0"/>
          <w:sz w:val="24"/>
        </w:rPr>
      </w:pPr>
      <w:r>
        <w:rPr>
          <w:rFonts w:ascii="楷体" w:hAnsi="楷体" w:eastAsia="楷体" w:cs="Tahoma"/>
          <w:b/>
          <w:color w:val="494949"/>
          <w:kern w:val="0"/>
          <w:sz w:val="24"/>
        </w:rPr>
        <w:t>联系电话:</w:t>
      </w:r>
      <w:r>
        <w:rPr>
          <w:rFonts w:ascii="楷体" w:hAnsi="楷体" w:eastAsia="楷体" w:cs="Tahoma"/>
          <w:color w:val="494949"/>
          <w:kern w:val="0"/>
          <w:sz w:val="24"/>
        </w:rPr>
        <w:t xml:space="preserve"> 0451-864</w:t>
      </w:r>
      <w:r>
        <w:rPr>
          <w:rFonts w:hint="eastAsia" w:ascii="楷体" w:hAnsi="楷体" w:eastAsia="楷体" w:cs="Tahoma"/>
          <w:color w:val="494949"/>
          <w:kern w:val="0"/>
          <w:sz w:val="24"/>
        </w:rPr>
        <w:t>02929；15945679898</w:t>
      </w:r>
    </w:p>
    <w:p>
      <w:pPr>
        <w:widowControl/>
        <w:wordWrap w:val="0"/>
        <w:spacing w:line="320" w:lineRule="atLeast"/>
        <w:jc w:val="left"/>
        <w:rPr>
          <w:rFonts w:hint="eastAsia" w:ascii="楷体" w:hAnsi="楷体" w:eastAsia="楷体" w:cs="Tahoma"/>
          <w:b/>
          <w:color w:val="494949"/>
          <w:kern w:val="0"/>
          <w:sz w:val="24"/>
        </w:rPr>
      </w:pPr>
    </w:p>
    <w:p>
      <w:pPr>
        <w:widowControl/>
        <w:wordWrap w:val="0"/>
        <w:spacing w:line="320" w:lineRule="atLeast"/>
        <w:jc w:val="left"/>
        <w:rPr>
          <w:rFonts w:ascii="楷体" w:hAnsi="楷体" w:eastAsia="楷体" w:cs="Tahoma"/>
          <w:color w:val="494949"/>
          <w:kern w:val="0"/>
          <w:sz w:val="17"/>
          <w:szCs w:val="17"/>
        </w:rPr>
      </w:pPr>
      <w:r>
        <w:rPr>
          <w:rFonts w:ascii="楷体" w:hAnsi="楷体" w:eastAsia="楷体" w:cs="Tahoma"/>
          <w:b/>
          <w:color w:val="494949"/>
          <w:kern w:val="0"/>
          <w:sz w:val="24"/>
        </w:rPr>
        <w:t>联系人：</w:t>
      </w:r>
      <w:r>
        <w:rPr>
          <w:rFonts w:eastAsia="楷体" w:cs="Tahoma" w:asciiTheme="majorEastAsia" w:hAnsiTheme="majorEastAsia"/>
          <w:b/>
          <w:color w:val="494949"/>
          <w:kern w:val="0"/>
          <w:sz w:val="17"/>
          <w:szCs w:val="17"/>
        </w:rPr>
        <w:t> </w:t>
      </w:r>
      <w:r>
        <w:rPr>
          <w:rFonts w:ascii="楷体" w:hAnsi="楷体" w:eastAsia="楷体" w:cs="Tahoma"/>
          <w:color w:val="494949"/>
          <w:kern w:val="0"/>
          <w:sz w:val="24"/>
        </w:rPr>
        <w:t>李老师</w:t>
      </w:r>
    </w:p>
    <w:p>
      <w:pPr>
        <w:widowControl/>
        <w:wordWrap w:val="0"/>
        <w:spacing w:line="400" w:lineRule="atLeast"/>
        <w:ind w:firstLine="240"/>
        <w:jc w:val="left"/>
        <w:rPr>
          <w:rFonts w:eastAsia="楷体" w:cs="Tahoma" w:asciiTheme="majorEastAsia" w:hAnsiTheme="majorEastAsia"/>
          <w:color w:val="494949"/>
          <w:kern w:val="0"/>
          <w:sz w:val="17"/>
          <w:szCs w:val="17"/>
        </w:rPr>
      </w:pPr>
    </w:p>
    <w:p>
      <w:pPr>
        <w:widowControl/>
        <w:wordWrap w:val="0"/>
        <w:spacing w:line="400" w:lineRule="atLeast"/>
        <w:ind w:firstLine="818" w:firstLineChars="341"/>
        <w:jc w:val="center"/>
        <w:rPr>
          <w:rFonts w:ascii="楷体" w:hAnsi="楷体" w:eastAsia="楷体" w:cs="Tahoma"/>
          <w:color w:val="000000" w:themeColor="text1"/>
          <w:kern w:val="0"/>
          <w:sz w:val="17"/>
          <w:szCs w:val="17"/>
        </w:rPr>
      </w:pPr>
      <w:r>
        <w:rPr>
          <w:rFonts w:ascii="楷体" w:hAnsi="楷体" w:eastAsia="楷体" w:cs="Tahoma"/>
          <w:color w:val="000000" w:themeColor="text1"/>
          <w:kern w:val="0"/>
          <w:sz w:val="24"/>
        </w:rPr>
        <w:t>请各位考生随时关注网站的调剂复试通知</w:t>
      </w:r>
      <w:r>
        <w:rPr>
          <w:rFonts w:hint="eastAsia" w:ascii="楷体" w:hAnsi="楷体" w:eastAsia="楷体" w:cs="Tahoma"/>
          <w:color w:val="000000" w:themeColor="text1"/>
          <w:kern w:val="0"/>
          <w:sz w:val="24"/>
        </w:rPr>
        <w:t>！</w:t>
      </w:r>
    </w:p>
    <w:p>
      <w:pPr>
        <w:widowControl/>
        <w:wordWrap w:val="0"/>
        <w:spacing w:line="400" w:lineRule="atLeast"/>
        <w:ind w:firstLine="240"/>
        <w:jc w:val="right"/>
        <w:rPr>
          <w:rFonts w:ascii="楷体" w:hAnsi="楷体" w:eastAsia="楷体" w:cs="Tahoma"/>
          <w:color w:val="494949"/>
          <w:kern w:val="0"/>
          <w:sz w:val="24"/>
        </w:rPr>
      </w:pPr>
      <w:r>
        <w:rPr>
          <w:rFonts w:eastAsia="楷体" w:cs="Tahoma" w:asciiTheme="majorEastAsia" w:hAnsiTheme="majorEastAsia"/>
          <w:color w:val="494949"/>
          <w:kern w:val="0"/>
          <w:sz w:val="17"/>
          <w:szCs w:val="17"/>
        </w:rPr>
        <w:t> </w:t>
      </w:r>
    </w:p>
    <w:p>
      <w:pPr>
        <w:widowControl/>
        <w:wordWrap w:val="0"/>
        <w:spacing w:line="400" w:lineRule="atLeast"/>
        <w:ind w:firstLine="240"/>
        <w:jc w:val="right"/>
        <w:rPr>
          <w:rFonts w:ascii="楷体" w:hAnsi="楷体" w:eastAsia="楷体" w:cs="Tahoma"/>
          <w:b/>
          <w:color w:val="494949"/>
          <w:kern w:val="0"/>
          <w:sz w:val="17"/>
          <w:szCs w:val="17"/>
        </w:rPr>
      </w:pPr>
      <w:r>
        <w:rPr>
          <w:rFonts w:ascii="楷体" w:hAnsi="楷体" w:eastAsia="楷体" w:cs="Tahoma"/>
          <w:b/>
          <w:color w:val="494949"/>
          <w:kern w:val="0"/>
          <w:sz w:val="24"/>
        </w:rPr>
        <w:t>哈尔滨工业大学</w:t>
      </w:r>
      <w:r>
        <w:rPr>
          <w:rFonts w:hint="eastAsia" w:ascii="楷体" w:hAnsi="楷体" w:eastAsia="楷体" w:cs="Tahoma"/>
          <w:b/>
          <w:color w:val="494949"/>
          <w:kern w:val="0"/>
          <w:sz w:val="24"/>
        </w:rPr>
        <w:t>MPA</w:t>
      </w:r>
      <w:r>
        <w:rPr>
          <w:rFonts w:ascii="楷体" w:hAnsi="楷体" w:eastAsia="楷体" w:cs="Tahoma"/>
          <w:b/>
          <w:color w:val="494949"/>
          <w:kern w:val="0"/>
          <w:sz w:val="24"/>
        </w:rPr>
        <w:t>教育中心</w:t>
      </w:r>
    </w:p>
    <w:p>
      <w:pPr>
        <w:jc w:val="right"/>
        <w:rPr>
          <w:rFonts w:ascii="楷体" w:hAnsi="楷体" w:eastAsia="楷体" w:cs="Tahoma"/>
          <w:color w:val="494949"/>
          <w:kern w:val="0"/>
          <w:sz w:val="24"/>
        </w:rPr>
      </w:pPr>
    </w:p>
    <w:p>
      <w:pPr>
        <w:jc w:val="right"/>
        <w:rPr>
          <w:rFonts w:ascii="Tahoma" w:hAnsi="Tahoma" w:eastAsia="宋体" w:cs="Tahoma"/>
          <w:b/>
          <w:bCs/>
          <w:color w:val="494949"/>
          <w:kern w:val="0"/>
          <w:sz w:val="32"/>
          <w:szCs w:val="32"/>
        </w:rPr>
      </w:pPr>
      <w:r>
        <w:rPr>
          <w:rFonts w:ascii="楷体" w:hAnsi="楷体" w:eastAsia="楷体" w:cs="Tahoma"/>
          <w:b/>
          <w:color w:val="494949"/>
          <w:kern w:val="0"/>
          <w:sz w:val="24"/>
        </w:rPr>
        <w:t>201</w:t>
      </w:r>
      <w:r>
        <w:rPr>
          <w:rFonts w:hint="eastAsia" w:ascii="楷体" w:hAnsi="楷体" w:eastAsia="楷体" w:cs="Tahoma"/>
          <w:b/>
          <w:color w:val="494949"/>
          <w:kern w:val="0"/>
          <w:sz w:val="24"/>
        </w:rPr>
        <w:t>8</w:t>
      </w:r>
      <w:r>
        <w:rPr>
          <w:rFonts w:ascii="楷体" w:hAnsi="楷体" w:eastAsia="楷体" w:cs="Tahoma"/>
          <w:b/>
          <w:color w:val="494949"/>
          <w:kern w:val="0"/>
          <w:sz w:val="24"/>
        </w:rPr>
        <w:t>年3月</w:t>
      </w:r>
      <w:r>
        <w:rPr>
          <w:rFonts w:hint="eastAsia" w:ascii="楷体" w:hAnsi="楷体" w:eastAsia="楷体" w:cs="Tahoma"/>
          <w:b/>
          <w:color w:val="494949"/>
          <w:kern w:val="0"/>
          <w:sz w:val="24"/>
          <w:lang w:val="en-US" w:eastAsia="zh-CN"/>
        </w:rPr>
        <w:t>26</w:t>
      </w:r>
      <w:r>
        <w:rPr>
          <w:rFonts w:hint="eastAsia" w:ascii="楷体" w:hAnsi="楷体" w:eastAsia="楷体" w:cs="Tahoma"/>
          <w:b/>
          <w:color w:val="494949"/>
          <w:kern w:val="0"/>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90380"/>
    <w:multiLevelType w:val="singleLevel"/>
    <w:tmpl w:val="51A90380"/>
    <w:lvl w:ilvl="0" w:tentative="0">
      <w:start w:val="1"/>
      <w:numFmt w:val="decimal"/>
      <w:suff w:val="nothing"/>
      <w:lvlText w:val="（%1）"/>
      <w:lvlJc w:val="left"/>
    </w:lvl>
  </w:abstractNum>
  <w:abstractNum w:abstractNumId="1">
    <w:nsid w:val="645D8DE1"/>
    <w:multiLevelType w:val="singleLevel"/>
    <w:tmpl w:val="645D8DE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C653135"/>
    <w:rsid w:val="00272257"/>
    <w:rsid w:val="00722D49"/>
    <w:rsid w:val="014C6D75"/>
    <w:rsid w:val="036F655C"/>
    <w:rsid w:val="044A66C1"/>
    <w:rsid w:val="07616197"/>
    <w:rsid w:val="076E295A"/>
    <w:rsid w:val="08774F3D"/>
    <w:rsid w:val="0C653135"/>
    <w:rsid w:val="0D04137F"/>
    <w:rsid w:val="0F7F31CB"/>
    <w:rsid w:val="13073CB8"/>
    <w:rsid w:val="16FC3F78"/>
    <w:rsid w:val="18167287"/>
    <w:rsid w:val="1AEC52E0"/>
    <w:rsid w:val="1E465B9B"/>
    <w:rsid w:val="1FBB523E"/>
    <w:rsid w:val="1FCE1CBA"/>
    <w:rsid w:val="29E923E1"/>
    <w:rsid w:val="32214BE1"/>
    <w:rsid w:val="32DE3437"/>
    <w:rsid w:val="3360084F"/>
    <w:rsid w:val="45712F75"/>
    <w:rsid w:val="4D5A3958"/>
    <w:rsid w:val="51DC6BE6"/>
    <w:rsid w:val="563A2906"/>
    <w:rsid w:val="565C017B"/>
    <w:rsid w:val="57693238"/>
    <w:rsid w:val="587A1C02"/>
    <w:rsid w:val="59DD65C8"/>
    <w:rsid w:val="5CE63E3B"/>
    <w:rsid w:val="60EB393A"/>
    <w:rsid w:val="62F659AC"/>
    <w:rsid w:val="637B13E2"/>
    <w:rsid w:val="67805BAF"/>
    <w:rsid w:val="6D1B72C0"/>
    <w:rsid w:val="6EB95090"/>
    <w:rsid w:val="755865E8"/>
    <w:rsid w:val="7676754A"/>
    <w:rsid w:val="78301AC7"/>
    <w:rsid w:val="7BC01A73"/>
    <w:rsid w:val="7FB66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styleId="4">
    <w:name w:val="FollowedHyperlink"/>
    <w:basedOn w:val="3"/>
    <w:qFormat/>
    <w:uiPriority w:val="0"/>
    <w:rPr>
      <w:color w:val="800080"/>
      <w:u w:val="none"/>
    </w:rPr>
  </w:style>
  <w:style w:type="character" w:styleId="5">
    <w:name w:val="Hyperlink"/>
    <w:basedOn w:val="3"/>
    <w:qFormat/>
    <w:uiPriority w:val="0"/>
    <w:rPr>
      <w:color w:val="0000FF"/>
      <w:u w:val="none"/>
    </w:rPr>
  </w:style>
  <w:style w:type="character" w:customStyle="1" w:styleId="7">
    <w:name w:val="item-name"/>
    <w:basedOn w:val="3"/>
    <w:qFormat/>
    <w:uiPriority w:val="0"/>
    <w:rPr>
      <w:color w:val="FFFFFF"/>
      <w:sz w:val="24"/>
      <w:szCs w:val="24"/>
    </w:rPr>
  </w:style>
  <w:style w:type="character" w:customStyle="1" w:styleId="8">
    <w:name w:val="item-name1"/>
    <w:basedOn w:val="3"/>
    <w:qFormat/>
    <w:uiPriority w:val="0"/>
  </w:style>
  <w:style w:type="character" w:customStyle="1" w:styleId="9">
    <w:name w:val="item-name2"/>
    <w:basedOn w:val="3"/>
    <w:qFormat/>
    <w:uiPriority w:val="0"/>
  </w:style>
  <w:style w:type="character" w:customStyle="1" w:styleId="10">
    <w:name w:val="item-name3"/>
    <w:basedOn w:val="3"/>
    <w:qFormat/>
    <w:uiPriority w:val="0"/>
    <w:rPr>
      <w:color w:val="111314"/>
      <w:sz w:val="21"/>
      <w:szCs w:val="21"/>
    </w:rPr>
  </w:style>
  <w:style w:type="character" w:customStyle="1" w:styleId="11">
    <w:name w:val="item-name4"/>
    <w:basedOn w:val="3"/>
    <w:qFormat/>
    <w:uiPriority w:val="0"/>
    <w:rPr>
      <w:color w:val="FFFFFF"/>
      <w:sz w:val="24"/>
      <w:szCs w:val="24"/>
    </w:rPr>
  </w:style>
  <w:style w:type="character" w:customStyle="1" w:styleId="12">
    <w:name w:val="item-name5"/>
    <w:basedOn w:val="3"/>
    <w:uiPriority w:val="0"/>
  </w:style>
  <w:style w:type="character" w:customStyle="1" w:styleId="13">
    <w:name w:val="item-name6"/>
    <w:basedOn w:val="3"/>
    <w:uiPriority w:val="0"/>
  </w:style>
  <w:style w:type="character" w:customStyle="1" w:styleId="14">
    <w:name w:val="item-name7"/>
    <w:basedOn w:val="3"/>
    <w:qFormat/>
    <w:uiPriority w:val="0"/>
    <w:rPr>
      <w:sz w:val="24"/>
      <w:szCs w:val="24"/>
    </w:rPr>
  </w:style>
  <w:style w:type="character" w:customStyle="1" w:styleId="15">
    <w:name w:val="item-name8"/>
    <w:basedOn w:val="3"/>
    <w:uiPriority w:val="0"/>
    <w:rPr>
      <w:color w:val="FFFFFF"/>
      <w:sz w:val="24"/>
      <w:szCs w:val="24"/>
    </w:rPr>
  </w:style>
  <w:style w:type="character" w:customStyle="1" w:styleId="16">
    <w:name w:val="item-name9"/>
    <w:basedOn w:val="3"/>
    <w:qFormat/>
    <w:uiPriority w:val="0"/>
  </w:style>
  <w:style w:type="character" w:customStyle="1" w:styleId="17">
    <w:name w:val="item-name10"/>
    <w:basedOn w:val="3"/>
    <w:qFormat/>
    <w:uiPriority w:val="0"/>
  </w:style>
  <w:style w:type="character" w:customStyle="1" w:styleId="18">
    <w:name w:val="item-name11"/>
    <w:basedOn w:val="3"/>
    <w:uiPriority w:val="0"/>
  </w:style>
  <w:style w:type="character" w:customStyle="1" w:styleId="19">
    <w:name w:val="item-name12"/>
    <w:basedOn w:val="3"/>
    <w:qFormat/>
    <w:uiPriority w:val="0"/>
    <w:rPr>
      <w:color w:val="FFFFFF"/>
      <w:sz w:val="24"/>
      <w:szCs w:val="24"/>
    </w:rPr>
  </w:style>
  <w:style w:type="character" w:customStyle="1" w:styleId="20">
    <w:name w:val="item-name13"/>
    <w:basedOn w:val="3"/>
    <w:uiPriority w:val="0"/>
    <w:rPr>
      <w:color w:val="FFFFFF"/>
      <w:sz w:val="36"/>
      <w:szCs w:val="36"/>
    </w:rPr>
  </w:style>
  <w:style w:type="character" w:customStyle="1" w:styleId="21">
    <w:name w:val="item-name14"/>
    <w:basedOn w:val="3"/>
    <w:qFormat/>
    <w:uiPriority w:val="0"/>
    <w:rPr>
      <w:color w:val="FFFFFF"/>
      <w:sz w:val="36"/>
      <w:szCs w:val="36"/>
    </w:rPr>
  </w:style>
  <w:style w:type="character" w:customStyle="1" w:styleId="22">
    <w:name w:val="left"/>
    <w:basedOn w:val="3"/>
    <w:qFormat/>
    <w:uiPriority w:val="0"/>
  </w:style>
  <w:style w:type="character" w:customStyle="1" w:styleId="23">
    <w:name w:val="right"/>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882</Words>
  <Characters>163</Characters>
  <Lines>1</Lines>
  <Paragraphs>2</Paragraphs>
  <TotalTime>0</TotalTime>
  <ScaleCrop>false</ScaleCrop>
  <LinksUpToDate>false</LinksUpToDate>
  <CharactersWithSpaces>1043</CharactersWithSpaces>
  <Application>WPS Office_10.1.0.7224_F1E327BC-269C-435d-A152-05C5408002CA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2018-03-19T02:05:00Z</dcterms:created>
  <dc:creator>Administrator</dc:creator>
  <cp:lastModifiedBy>Administrator</cp:lastModifiedBy>
  <dcterms:modified xsi:type="dcterms:W3CDTF">2018-03-26T01:07:43Z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